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C3" w:rsidRDefault="00067C4F">
      <w:r>
        <w:t>Answers to Present Estates Handout</w:t>
      </w:r>
    </w:p>
    <w:p w:rsidR="00067C4F" w:rsidRDefault="00067C4F">
      <w:r>
        <w:t>1. A has a fee simple determinable.  O has a possibility of reverter.</w:t>
      </w:r>
    </w:p>
    <w:p w:rsidR="00067C4F" w:rsidRDefault="00067C4F">
      <w:r>
        <w:t>2. B has a fee simple subject to a condition subsequent.  A has a right of entry.</w:t>
      </w:r>
    </w:p>
    <w:p w:rsidR="00067C4F" w:rsidRDefault="00067C4F">
      <w:r>
        <w:t>3. A has a fee simple subject to an executory interest.  AHA has a shifting executory interest in fee simple</w:t>
      </w:r>
      <w:r w:rsidR="007911B7">
        <w:t xml:space="preserve">. </w:t>
      </w:r>
      <w:r w:rsidR="0060707F">
        <w:t xml:space="preserve"> </w:t>
      </w:r>
      <w:r w:rsidR="007911B7">
        <w:t>The executory interest</w:t>
      </w:r>
      <w:r>
        <w:t xml:space="preserve"> is v</w:t>
      </w:r>
      <w:r w:rsidR="0060707F">
        <w:t>alid</w:t>
      </w:r>
      <w:r>
        <w:t xml:space="preserve"> under RAP</w:t>
      </w:r>
      <w:r w:rsidR="0060707F">
        <w:t xml:space="preserve"> because of the “charity to charity” exception</w:t>
      </w:r>
      <w:r>
        <w:t>.</w:t>
      </w:r>
    </w:p>
    <w:p w:rsidR="00067C4F" w:rsidRDefault="00067C4F">
      <w:r>
        <w:t>4. In each case, O has a reversion. In (i), A has a life estate. In (ii), A has an estate for years.</w:t>
      </w:r>
    </w:p>
    <w:p w:rsidR="00067C4F" w:rsidRDefault="00067C4F">
      <w:r>
        <w:t>5. A has a life estate.  B has an indefeasibly vested remainder.</w:t>
      </w:r>
    </w:p>
    <w:p w:rsidR="00067C4F" w:rsidRDefault="00067C4F">
      <w:r>
        <w:t>6. A has a life estate.  At the time of the disposition, the unborn child ha</w:t>
      </w:r>
      <w:r w:rsidR="0002408C">
        <w:t>s a</w:t>
      </w:r>
      <w:r>
        <w:t xml:space="preserve"> contingent remainder in fee</w:t>
      </w:r>
      <w:r w:rsidR="0060707F">
        <w:t>, and the grantor has a reversion</w:t>
      </w:r>
      <w:r>
        <w:t xml:space="preserve">.  After </w:t>
      </w:r>
      <w:r w:rsidR="0002408C">
        <w:t>John</w:t>
      </w:r>
      <w:r>
        <w:t xml:space="preserve"> is born, </w:t>
      </w:r>
      <w:r w:rsidR="0002408C">
        <w:t xml:space="preserve">John </w:t>
      </w:r>
      <w:r>
        <w:t>has a</w:t>
      </w:r>
      <w:r w:rsidR="0002408C">
        <w:t>n indefeasible</w:t>
      </w:r>
      <w:r>
        <w:t xml:space="preserve"> vested remainder in fee</w:t>
      </w:r>
      <w:r w:rsidR="0060707F">
        <w:t>, and the grantor has nothing</w:t>
      </w:r>
      <w:r>
        <w:t xml:space="preserve">. </w:t>
      </w:r>
    </w:p>
    <w:p w:rsidR="0002408C" w:rsidRDefault="0002408C">
      <w:r>
        <w:t>7. A has a life estate.  At the time of the disposition, the unborn children have contingent remainders in fee.  At Bob’s birth, Bob has a vested remainder in fee simple, subject to open, and the unborn children have shifting executory interests.  At Ray’s birth, he has the same interest as Bob.  Bo</w:t>
      </w:r>
      <w:r w:rsidRPr="0002408C">
        <w:t>b’</w:t>
      </w:r>
      <w:r>
        <w:t>s death has no</w:t>
      </w:r>
      <w:r w:rsidRPr="0002408C">
        <w:t xml:space="preserve"> effect on his interest</w:t>
      </w:r>
      <w:r>
        <w:t>.</w:t>
      </w:r>
    </w:p>
    <w:p w:rsidR="0002408C" w:rsidRDefault="0002408C">
      <w:r>
        <w:t xml:space="preserve">8. Rowena has a life estate. </w:t>
      </w:r>
      <w:r w:rsidR="00A56B82">
        <w:t xml:space="preserve"> </w:t>
      </w:r>
      <w:r>
        <w:t>T’s three children have an indefeasibly vested remainder in fee.</w:t>
      </w:r>
    </w:p>
    <w:p w:rsidR="0002408C" w:rsidRDefault="0002408C">
      <w:r>
        <w:t xml:space="preserve">9. </w:t>
      </w:r>
      <w:r w:rsidR="00A56B82">
        <w:t>X has a life estate.  A has a vested remainder in fee simple, subject to complete divestment. B has a shifting executory interest in fee.</w:t>
      </w:r>
    </w:p>
    <w:p w:rsidR="00A56B82" w:rsidRDefault="0060707F">
      <w:r>
        <w:t>10. A has a lif</w:t>
      </w:r>
      <w:r w:rsidR="00A56B82">
        <w:t xml:space="preserve">e estate.  B has a </w:t>
      </w:r>
      <w:r w:rsidR="00903925">
        <w:t>vested remainder in a life estate</w:t>
      </w:r>
      <w:r w:rsidR="00A56B82">
        <w:t>.  The grantor has a reversion.</w:t>
      </w:r>
    </w:p>
    <w:p w:rsidR="00A56B82" w:rsidRDefault="00A56B82">
      <w:r>
        <w:t>11. A has a life estate.  B has a contingent remainder in fee simple.  Grantor has a reversion.</w:t>
      </w:r>
    </w:p>
    <w:p w:rsidR="00A56B82" w:rsidRDefault="00A56B82">
      <w:r>
        <w:t xml:space="preserve">12. </w:t>
      </w:r>
      <w:r w:rsidR="00903925">
        <w:t xml:space="preserve">B </w:t>
      </w:r>
      <w:bookmarkStart w:id="0" w:name="Markspot"/>
      <w:bookmarkEnd w:id="0"/>
      <w:r w:rsidRPr="00A56B82">
        <w:t>has a life estate.  C and D have alternative contingent remainders</w:t>
      </w:r>
      <w:r>
        <w:t>.</w:t>
      </w:r>
    </w:p>
    <w:p w:rsidR="00A56B82" w:rsidRDefault="00A56B82">
      <w:r>
        <w:t xml:space="preserve">13. </w:t>
      </w:r>
      <w:r w:rsidR="007911B7">
        <w:t>B has a life estate.  C has a vested remainder subject to complete divestment.  E has a shifting executory interest in fee simple.</w:t>
      </w:r>
    </w:p>
    <w:p w:rsidR="007911B7" w:rsidRDefault="007911B7">
      <w:r>
        <w:t xml:space="preserve">14. A has a life estate.  Her children have a contingent remainder in fee simple. </w:t>
      </w:r>
      <w:r w:rsidR="001E45EF">
        <w:t xml:space="preserve"> The grantor has a reversion.</w:t>
      </w:r>
      <w:bookmarkStart w:id="1" w:name="_GoBack"/>
      <w:bookmarkEnd w:id="1"/>
    </w:p>
    <w:p w:rsidR="0060707F" w:rsidRDefault="007911B7">
      <w:r>
        <w:t xml:space="preserve">15. </w:t>
      </w:r>
      <w:r w:rsidR="0060707F">
        <w:t>A has a fee simple subject to an executory interest (limitation).  B has a shifting executory interest in fee simple.</w:t>
      </w:r>
    </w:p>
    <w:p w:rsidR="007911B7" w:rsidRPr="0002408C" w:rsidRDefault="0060707F">
      <w:r>
        <w:t xml:space="preserve">16. </w:t>
      </w:r>
      <w:r w:rsidR="007911B7">
        <w:t>A has a life estate.  The grantor has a reversion.  B has a springing executory interest.</w:t>
      </w:r>
    </w:p>
    <w:sectPr w:rsidR="007911B7" w:rsidRPr="0002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AE" w:rsidRDefault="008E78AE" w:rsidP="008E78AE">
      <w:pPr>
        <w:spacing w:after="0" w:line="240" w:lineRule="auto"/>
      </w:pPr>
      <w:r>
        <w:separator/>
      </w:r>
    </w:p>
  </w:endnote>
  <w:endnote w:type="continuationSeparator" w:id="0">
    <w:p w:rsidR="008E78AE" w:rsidRDefault="008E78AE" w:rsidP="008E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AE" w:rsidRDefault="008E78AE" w:rsidP="008E78AE">
      <w:pPr>
        <w:spacing w:after="0" w:line="240" w:lineRule="auto"/>
      </w:pPr>
      <w:r>
        <w:separator/>
      </w:r>
    </w:p>
  </w:footnote>
  <w:footnote w:type="continuationSeparator" w:id="0">
    <w:p w:rsidR="008E78AE" w:rsidRDefault="008E78AE" w:rsidP="008E7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4F"/>
    <w:rsid w:val="0002408C"/>
    <w:rsid w:val="00067C4F"/>
    <w:rsid w:val="001E45EF"/>
    <w:rsid w:val="0060707F"/>
    <w:rsid w:val="007911B7"/>
    <w:rsid w:val="008E78AE"/>
    <w:rsid w:val="00903925"/>
    <w:rsid w:val="00A56B82"/>
    <w:rsid w:val="00F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079F"/>
  <w15:docId w15:val="{CD3A2BB8-4751-403F-A766-D9EDE3AF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AE"/>
  </w:style>
  <w:style w:type="paragraph" w:styleId="Footer">
    <w:name w:val="footer"/>
    <w:basedOn w:val="Normal"/>
    <w:link w:val="FooterChar"/>
    <w:uiPriority w:val="99"/>
    <w:unhideWhenUsed/>
    <w:rsid w:val="008E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jBairdlaw</dc:creator>
  <cp:lastModifiedBy>Fielding, Scott</cp:lastModifiedBy>
  <cp:revision>4</cp:revision>
  <cp:lastPrinted>2014-09-29T18:27:00Z</cp:lastPrinted>
  <dcterms:created xsi:type="dcterms:W3CDTF">2020-09-18T18:21:00Z</dcterms:created>
  <dcterms:modified xsi:type="dcterms:W3CDTF">2020-09-18T18:27:00Z</dcterms:modified>
</cp:coreProperties>
</file>